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E4BE2" w14:textId="77777777" w:rsidR="007B6B04" w:rsidRPr="001372E4" w:rsidRDefault="006C53A9" w:rsidP="001372E4">
      <w:pPr>
        <w:jc w:val="both"/>
      </w:pPr>
      <w:r w:rsidRPr="001372E4">
        <w:rPr>
          <w:rFonts w:eastAsia="Arial"/>
          <w:b/>
          <w:bCs/>
          <w:sz w:val="24"/>
          <w:szCs w:val="24"/>
        </w:rPr>
        <w:t xml:space="preserve">IOSUD </w:t>
      </w:r>
      <w:r w:rsidR="00F62DA0">
        <w:rPr>
          <w:rFonts w:eastAsia="Arial"/>
          <w:b/>
          <w:bCs/>
          <w:sz w:val="24"/>
          <w:szCs w:val="24"/>
        </w:rPr>
        <w:t>-</w:t>
      </w:r>
      <w:r w:rsidRPr="001372E4">
        <w:rPr>
          <w:rFonts w:eastAsia="Arial"/>
          <w:b/>
          <w:bCs/>
          <w:sz w:val="24"/>
          <w:szCs w:val="24"/>
        </w:rPr>
        <w:t xml:space="preserve"> UNIVERSITY OF CRAIOVA</w:t>
      </w:r>
    </w:p>
    <w:p w14:paraId="5DB20B52" w14:textId="77777777" w:rsidR="007B6B04" w:rsidRPr="001372E4" w:rsidRDefault="006C53A9" w:rsidP="001372E4">
      <w:pPr>
        <w:jc w:val="both"/>
      </w:pPr>
      <w:r w:rsidRPr="001372E4">
        <w:rPr>
          <w:rFonts w:eastAsia="Arial"/>
          <w:b/>
          <w:bCs/>
          <w:sz w:val="24"/>
          <w:szCs w:val="24"/>
        </w:rPr>
        <w:t>DOCTORAL SCHOOL OF ECONOMIC SCIENCES "EUGENIU CARADA"</w:t>
      </w:r>
    </w:p>
    <w:p w14:paraId="12692A0D" w14:textId="77777777" w:rsidR="007B6B04" w:rsidRPr="001372E4" w:rsidRDefault="007B6B04" w:rsidP="001372E4">
      <w:pPr>
        <w:jc w:val="both"/>
      </w:pPr>
    </w:p>
    <w:p w14:paraId="677EDF5B" w14:textId="77777777" w:rsidR="007B6B04" w:rsidRPr="001372E4" w:rsidRDefault="006C53A9" w:rsidP="001372E4">
      <w:pPr>
        <w:jc w:val="center"/>
      </w:pPr>
      <w:r w:rsidRPr="001372E4">
        <w:rPr>
          <w:rFonts w:eastAsia="Arial"/>
          <w:b/>
          <w:bCs/>
          <w:sz w:val="24"/>
          <w:szCs w:val="24"/>
        </w:rPr>
        <w:t>Admission Requirements for Doctoral Studies</w:t>
      </w:r>
    </w:p>
    <w:p w14:paraId="094B8D77" w14:textId="4EEEF51C" w:rsidR="007B6B04" w:rsidRPr="001372E4" w:rsidRDefault="006C53A9" w:rsidP="001372E4">
      <w:pPr>
        <w:jc w:val="center"/>
      </w:pPr>
      <w:r w:rsidRPr="001372E4">
        <w:rPr>
          <w:rFonts w:eastAsia="Arial"/>
          <w:b/>
          <w:bCs/>
          <w:sz w:val="24"/>
          <w:szCs w:val="24"/>
        </w:rPr>
        <w:t>Session 202</w:t>
      </w:r>
      <w:r w:rsidR="00084F56">
        <w:rPr>
          <w:rFonts w:eastAsia="Arial"/>
          <w:b/>
          <w:bCs/>
          <w:sz w:val="24"/>
          <w:szCs w:val="24"/>
        </w:rPr>
        <w:t>6</w:t>
      </w:r>
    </w:p>
    <w:p w14:paraId="327EB4D2" w14:textId="77777777" w:rsidR="007B6B04" w:rsidRPr="001372E4" w:rsidRDefault="007B6B04" w:rsidP="001372E4">
      <w:pPr>
        <w:jc w:val="both"/>
      </w:pPr>
    </w:p>
    <w:p w14:paraId="41EBA4AC" w14:textId="77777777" w:rsidR="007B6B04" w:rsidRPr="001372E4" w:rsidRDefault="006C53A9" w:rsidP="001372E4">
      <w:pPr>
        <w:jc w:val="both"/>
      </w:pPr>
      <w:r w:rsidRPr="001372E4">
        <w:rPr>
          <w:rFonts w:eastAsia="Arial"/>
          <w:b/>
          <w:bCs/>
          <w:sz w:val="24"/>
          <w:szCs w:val="24"/>
        </w:rPr>
        <w:t>a) Format and Content of the Admission Competition:</w:t>
      </w:r>
    </w:p>
    <w:p w14:paraId="08191FCC" w14:textId="77777777" w:rsidR="007B6B04" w:rsidRPr="001372E4" w:rsidRDefault="006C53A9" w:rsidP="001372E4">
      <w:pPr>
        <w:jc w:val="both"/>
      </w:pPr>
      <w:r w:rsidRPr="001372E4">
        <w:rPr>
          <w:rFonts w:eastAsia="Arial"/>
          <w:sz w:val="24"/>
          <w:szCs w:val="24"/>
        </w:rPr>
        <w:t>The doctoral admission competition within SDSE consists of two assessments:</w:t>
      </w:r>
    </w:p>
    <w:p w14:paraId="46E58942" w14:textId="77777777" w:rsidR="007B6B04" w:rsidRPr="001372E4" w:rsidRDefault="006C53A9" w:rsidP="001372E4">
      <w:pPr>
        <w:pStyle w:val="ListParagraph"/>
        <w:numPr>
          <w:ilvl w:val="0"/>
          <w:numId w:val="2"/>
        </w:numPr>
        <w:tabs>
          <w:tab w:val="left" w:pos="567"/>
        </w:tabs>
        <w:ind w:left="0" w:firstLine="284"/>
        <w:jc w:val="both"/>
      </w:pPr>
      <w:r w:rsidRPr="001372E4">
        <w:rPr>
          <w:rFonts w:eastAsia="Arial"/>
          <w:i/>
          <w:iCs/>
          <w:sz w:val="24"/>
          <w:szCs w:val="24"/>
        </w:rPr>
        <w:t xml:space="preserve">Presentation of a doctoral research project </w:t>
      </w:r>
      <w:r w:rsidRPr="001372E4">
        <w:rPr>
          <w:rFonts w:eastAsia="Arial"/>
          <w:sz w:val="24"/>
          <w:szCs w:val="24"/>
        </w:rPr>
        <w:t>aligned with one of the research directions chosen by the doctoral supervisor, complemented by an assessment of the candidate's general professional preparation, expertise in the research topic area, and prior scientific experience. This takes place before an examination committee approved by the Rector's Decision, whose president is the academic supervisor chosen by the candidate at registration;</w:t>
      </w:r>
    </w:p>
    <w:p w14:paraId="6ECF92FF" w14:textId="77777777" w:rsidR="007B6B04" w:rsidRPr="001372E4" w:rsidRDefault="006C53A9" w:rsidP="001372E4">
      <w:pPr>
        <w:pStyle w:val="ListParagraph"/>
        <w:numPr>
          <w:ilvl w:val="0"/>
          <w:numId w:val="2"/>
        </w:numPr>
        <w:tabs>
          <w:tab w:val="left" w:pos="567"/>
        </w:tabs>
        <w:ind w:left="0" w:firstLine="284"/>
        <w:jc w:val="both"/>
      </w:pPr>
      <w:r w:rsidRPr="001372E4">
        <w:rPr>
          <w:rFonts w:eastAsia="Arial"/>
          <w:i/>
          <w:iCs/>
          <w:sz w:val="24"/>
          <w:szCs w:val="24"/>
        </w:rPr>
        <w:t xml:space="preserve">A language proficiency examination </w:t>
      </w:r>
      <w:r w:rsidRPr="001372E4">
        <w:rPr>
          <w:rFonts w:eastAsia="Arial"/>
          <w:sz w:val="24"/>
          <w:szCs w:val="24"/>
        </w:rPr>
        <w:t>targeting level B2, concluded with the qualification ADMITTED / REJECTED.</w:t>
      </w:r>
    </w:p>
    <w:p w14:paraId="2C4741AA" w14:textId="77777777" w:rsidR="007B6B04" w:rsidRPr="001372E4" w:rsidRDefault="007B6B04" w:rsidP="001372E4">
      <w:pPr>
        <w:jc w:val="both"/>
      </w:pPr>
    </w:p>
    <w:p w14:paraId="44AEE881" w14:textId="77777777" w:rsidR="007B6B04" w:rsidRPr="001372E4" w:rsidRDefault="006C53A9" w:rsidP="001372E4">
      <w:pPr>
        <w:jc w:val="both"/>
      </w:pPr>
      <w:r w:rsidRPr="001372E4">
        <w:rPr>
          <w:rFonts w:eastAsia="Arial"/>
          <w:b/>
          <w:bCs/>
          <w:sz w:val="24"/>
          <w:szCs w:val="24"/>
        </w:rPr>
        <w:t>b) Evaluation and Candidate Selection Criteria:</w:t>
      </w:r>
    </w:p>
    <w:p w14:paraId="051A7D3A" w14:textId="77777777" w:rsidR="007B6B04" w:rsidRPr="001372E4" w:rsidRDefault="006C53A9" w:rsidP="001372E4">
      <w:pPr>
        <w:jc w:val="both"/>
      </w:pPr>
      <w:r w:rsidRPr="001372E4">
        <w:rPr>
          <w:rFonts w:eastAsia="Arial"/>
          <w:sz w:val="24"/>
          <w:szCs w:val="24"/>
        </w:rPr>
        <w:t>The ranking of candidates is based on the general admission average, established in accordance with the following criteria:</w:t>
      </w:r>
    </w:p>
    <w:p w14:paraId="6442BDCF" w14:textId="77777777" w:rsidR="007B6B04" w:rsidRPr="001372E4" w:rsidRDefault="007B6B04" w:rsidP="001372E4">
      <w:pPr>
        <w:jc w:val="both"/>
      </w:pPr>
    </w:p>
    <w:p w14:paraId="6F78A0B0" w14:textId="77777777" w:rsidR="007B6B04" w:rsidRPr="001372E4" w:rsidRDefault="006C53A9" w:rsidP="001372E4">
      <w:pPr>
        <w:jc w:val="both"/>
      </w:pPr>
      <w:r w:rsidRPr="001372E4">
        <w:rPr>
          <w:rFonts w:eastAsia="Arial"/>
          <w:i/>
          <w:iCs/>
          <w:sz w:val="24"/>
          <w:szCs w:val="24"/>
        </w:rPr>
        <w:t>C1. Quality of the doctoral research project and results obtained during the presentation.</w:t>
      </w:r>
    </w:p>
    <w:p w14:paraId="01B96EC3" w14:textId="77777777" w:rsidR="007B6B04" w:rsidRPr="001372E4" w:rsidRDefault="006C53A9" w:rsidP="001372E4">
      <w:pPr>
        <w:jc w:val="both"/>
      </w:pPr>
      <w:r w:rsidRPr="001372E4">
        <w:rPr>
          <w:rFonts w:eastAsia="Arial"/>
          <w:sz w:val="24"/>
          <w:szCs w:val="24"/>
        </w:rPr>
        <w:t>This criterion is evaluated by the president and each member of the examination committee, with grades from 1 to 10, and is finalized through a committee-level average (MC1), with values between 1 and 10, to two decimal places, without rounding.</w:t>
      </w:r>
    </w:p>
    <w:p w14:paraId="41DAD4D4" w14:textId="77777777" w:rsidR="007B6B04" w:rsidRPr="001372E4" w:rsidRDefault="006C53A9" w:rsidP="001372E4">
      <w:pPr>
        <w:jc w:val="both"/>
      </w:pPr>
      <w:r w:rsidRPr="001372E4">
        <w:rPr>
          <w:rFonts w:eastAsia="Arial"/>
          <w:sz w:val="24"/>
          <w:szCs w:val="24"/>
        </w:rPr>
        <w:t>In awarding the score for criterion C1, the following sub-criteria shall be considered:</w:t>
      </w:r>
    </w:p>
    <w:tbl>
      <w:tblPr>
        <w:tblStyle w:val="TableGrid"/>
        <w:tblW w:w="9026" w:type="dxa"/>
        <w:tblLook w:val="04A0" w:firstRow="1" w:lastRow="0" w:firstColumn="1" w:lastColumn="0" w:noHBand="0" w:noVBand="1"/>
      </w:tblPr>
      <w:tblGrid>
        <w:gridCol w:w="7000"/>
        <w:gridCol w:w="2026"/>
      </w:tblGrid>
      <w:tr w:rsidR="007B6B04" w:rsidRPr="001372E4" w14:paraId="26D002FC" w14:textId="77777777" w:rsidTr="001372E4">
        <w:tc>
          <w:tcPr>
            <w:tcW w:w="7000" w:type="dxa"/>
          </w:tcPr>
          <w:p w14:paraId="0323A662" w14:textId="77777777" w:rsidR="007B6B04" w:rsidRPr="001372E4" w:rsidRDefault="006C53A9" w:rsidP="001372E4">
            <w:pPr>
              <w:jc w:val="both"/>
            </w:pPr>
            <w:r w:rsidRPr="001372E4">
              <w:rPr>
                <w:rFonts w:eastAsia="Arial"/>
                <w:b/>
                <w:bCs/>
              </w:rPr>
              <w:t>Criterion</w:t>
            </w:r>
          </w:p>
        </w:tc>
        <w:tc>
          <w:tcPr>
            <w:tcW w:w="2026" w:type="dxa"/>
          </w:tcPr>
          <w:p w14:paraId="09B2AE29" w14:textId="77777777" w:rsidR="007B6B04" w:rsidRPr="001372E4" w:rsidRDefault="006C53A9" w:rsidP="001372E4">
            <w:pPr>
              <w:jc w:val="both"/>
            </w:pPr>
            <w:r w:rsidRPr="001372E4">
              <w:rPr>
                <w:rFonts w:eastAsia="Arial"/>
                <w:b/>
                <w:bCs/>
              </w:rPr>
              <w:t>Max Score</w:t>
            </w:r>
          </w:p>
        </w:tc>
      </w:tr>
      <w:tr w:rsidR="007B6B04" w:rsidRPr="001372E4" w14:paraId="2B1DA7D1" w14:textId="77777777" w:rsidTr="001372E4">
        <w:tc>
          <w:tcPr>
            <w:tcW w:w="7000" w:type="dxa"/>
          </w:tcPr>
          <w:p w14:paraId="150F4ED6" w14:textId="77777777" w:rsidR="007B6B04" w:rsidRPr="001372E4" w:rsidRDefault="006C53A9" w:rsidP="001372E4">
            <w:pPr>
              <w:jc w:val="both"/>
            </w:pPr>
            <w:r w:rsidRPr="001372E4">
              <w:rPr>
                <w:rFonts w:eastAsia="Arial"/>
              </w:rPr>
              <w:t>C1.1. Quality of the description of the current state of knowledge in the research topic area</w:t>
            </w:r>
          </w:p>
        </w:tc>
        <w:tc>
          <w:tcPr>
            <w:tcW w:w="2026" w:type="dxa"/>
          </w:tcPr>
          <w:p w14:paraId="07503569" w14:textId="77777777" w:rsidR="007B6B04" w:rsidRPr="001372E4" w:rsidRDefault="006C53A9" w:rsidP="001372E4">
            <w:pPr>
              <w:jc w:val="both"/>
            </w:pPr>
            <w:r w:rsidRPr="001372E4">
              <w:rPr>
                <w:rFonts w:eastAsia="Arial"/>
              </w:rPr>
              <w:t>2</w:t>
            </w:r>
          </w:p>
        </w:tc>
      </w:tr>
      <w:tr w:rsidR="007B6B04" w:rsidRPr="001372E4" w14:paraId="234416E2" w14:textId="77777777" w:rsidTr="001372E4">
        <w:tc>
          <w:tcPr>
            <w:tcW w:w="7000" w:type="dxa"/>
          </w:tcPr>
          <w:p w14:paraId="2BBBD4A2" w14:textId="77777777" w:rsidR="007B6B04" w:rsidRPr="001372E4" w:rsidRDefault="006C53A9" w:rsidP="001372E4">
            <w:pPr>
              <w:jc w:val="both"/>
            </w:pPr>
            <w:r w:rsidRPr="001372E4">
              <w:rPr>
                <w:rFonts w:eastAsia="Arial"/>
              </w:rPr>
              <w:t>C1.2. Manner of describing the purpose and objectives of the doctoral research project</w:t>
            </w:r>
          </w:p>
        </w:tc>
        <w:tc>
          <w:tcPr>
            <w:tcW w:w="2026" w:type="dxa"/>
          </w:tcPr>
          <w:p w14:paraId="5FD9028F" w14:textId="77777777" w:rsidR="007B6B04" w:rsidRPr="001372E4" w:rsidRDefault="006C53A9" w:rsidP="001372E4">
            <w:pPr>
              <w:jc w:val="both"/>
            </w:pPr>
            <w:r w:rsidRPr="001372E4">
              <w:rPr>
                <w:rFonts w:eastAsia="Arial"/>
              </w:rPr>
              <w:t>2</w:t>
            </w:r>
          </w:p>
        </w:tc>
      </w:tr>
      <w:tr w:rsidR="007B6B04" w:rsidRPr="001372E4" w14:paraId="30F27A92" w14:textId="77777777" w:rsidTr="001372E4">
        <w:tc>
          <w:tcPr>
            <w:tcW w:w="7000" w:type="dxa"/>
          </w:tcPr>
          <w:p w14:paraId="062E9FB1" w14:textId="77777777" w:rsidR="007B6B04" w:rsidRPr="001372E4" w:rsidRDefault="006C53A9" w:rsidP="001372E4">
            <w:pPr>
              <w:jc w:val="both"/>
            </w:pPr>
            <w:r w:rsidRPr="001372E4">
              <w:rPr>
                <w:rFonts w:eastAsia="Arial"/>
              </w:rPr>
              <w:t>C1.3. Adequacy of the proposed research methodology to the project objectives</w:t>
            </w:r>
          </w:p>
        </w:tc>
        <w:tc>
          <w:tcPr>
            <w:tcW w:w="2026" w:type="dxa"/>
          </w:tcPr>
          <w:p w14:paraId="45B0F6A2" w14:textId="77777777" w:rsidR="007B6B04" w:rsidRPr="001372E4" w:rsidRDefault="006C53A9" w:rsidP="001372E4">
            <w:pPr>
              <w:jc w:val="both"/>
            </w:pPr>
            <w:r w:rsidRPr="001372E4">
              <w:rPr>
                <w:rFonts w:eastAsia="Arial"/>
              </w:rPr>
              <w:t>2</w:t>
            </w:r>
          </w:p>
        </w:tc>
      </w:tr>
      <w:tr w:rsidR="007B6B04" w:rsidRPr="001372E4" w14:paraId="4061C1E8" w14:textId="77777777" w:rsidTr="001372E4">
        <w:tc>
          <w:tcPr>
            <w:tcW w:w="7000" w:type="dxa"/>
          </w:tcPr>
          <w:p w14:paraId="61550515" w14:textId="77777777" w:rsidR="007B6B04" w:rsidRPr="001372E4" w:rsidRDefault="006C53A9" w:rsidP="001372E4">
            <w:pPr>
              <w:jc w:val="both"/>
            </w:pPr>
            <w:r w:rsidRPr="001372E4">
              <w:rPr>
                <w:rFonts w:eastAsia="Arial"/>
              </w:rPr>
              <w:t>C1.4. Responses to questions posed by the admission committee members during interviews</w:t>
            </w:r>
          </w:p>
        </w:tc>
        <w:tc>
          <w:tcPr>
            <w:tcW w:w="2026" w:type="dxa"/>
          </w:tcPr>
          <w:p w14:paraId="15B0F2DD" w14:textId="77777777" w:rsidR="007B6B04" w:rsidRPr="001372E4" w:rsidRDefault="006C53A9" w:rsidP="001372E4">
            <w:pPr>
              <w:jc w:val="both"/>
            </w:pPr>
            <w:r w:rsidRPr="001372E4">
              <w:rPr>
                <w:rFonts w:eastAsia="Arial"/>
              </w:rPr>
              <w:t>3</w:t>
            </w:r>
          </w:p>
        </w:tc>
      </w:tr>
      <w:tr w:rsidR="007B6B04" w:rsidRPr="001372E4" w14:paraId="66F0EF09" w14:textId="77777777" w:rsidTr="001372E4">
        <w:tc>
          <w:tcPr>
            <w:tcW w:w="7000" w:type="dxa"/>
          </w:tcPr>
          <w:p w14:paraId="0158AEE9" w14:textId="77777777" w:rsidR="007B6B04" w:rsidRPr="001372E4" w:rsidRDefault="006C53A9" w:rsidP="001372E4">
            <w:pPr>
              <w:jc w:val="both"/>
            </w:pPr>
            <w:r w:rsidRPr="001372E4">
              <w:rPr>
                <w:rFonts w:eastAsia="Arial"/>
              </w:rPr>
              <w:t>Office points</w:t>
            </w:r>
          </w:p>
        </w:tc>
        <w:tc>
          <w:tcPr>
            <w:tcW w:w="2026" w:type="dxa"/>
          </w:tcPr>
          <w:p w14:paraId="423ADB04" w14:textId="77777777" w:rsidR="007B6B04" w:rsidRPr="001372E4" w:rsidRDefault="006C53A9" w:rsidP="001372E4">
            <w:pPr>
              <w:jc w:val="both"/>
            </w:pPr>
            <w:r w:rsidRPr="001372E4">
              <w:rPr>
                <w:rFonts w:eastAsia="Arial"/>
              </w:rPr>
              <w:t>1</w:t>
            </w:r>
          </w:p>
        </w:tc>
      </w:tr>
      <w:tr w:rsidR="007B6B04" w:rsidRPr="001372E4" w14:paraId="22F6A43A" w14:textId="77777777" w:rsidTr="001372E4">
        <w:tc>
          <w:tcPr>
            <w:tcW w:w="7000" w:type="dxa"/>
          </w:tcPr>
          <w:p w14:paraId="440F159E" w14:textId="77777777" w:rsidR="007B6B04" w:rsidRPr="001372E4" w:rsidRDefault="006C53A9" w:rsidP="001372E4">
            <w:pPr>
              <w:jc w:val="both"/>
            </w:pPr>
            <w:r w:rsidRPr="001372E4">
              <w:rPr>
                <w:rFonts w:eastAsia="Arial"/>
              </w:rPr>
              <w:t>Total</w:t>
            </w:r>
          </w:p>
        </w:tc>
        <w:tc>
          <w:tcPr>
            <w:tcW w:w="2026" w:type="dxa"/>
          </w:tcPr>
          <w:p w14:paraId="11BD3714" w14:textId="77777777" w:rsidR="007B6B04" w:rsidRPr="001372E4" w:rsidRDefault="006C53A9" w:rsidP="001372E4">
            <w:pPr>
              <w:jc w:val="both"/>
            </w:pPr>
            <w:r w:rsidRPr="001372E4">
              <w:rPr>
                <w:rFonts w:eastAsia="Arial"/>
              </w:rPr>
              <w:t>10</w:t>
            </w:r>
          </w:p>
        </w:tc>
      </w:tr>
    </w:tbl>
    <w:p w14:paraId="6B07141E" w14:textId="77777777" w:rsidR="007B6B04" w:rsidRPr="001372E4" w:rsidRDefault="007B6B04" w:rsidP="001372E4">
      <w:pPr>
        <w:jc w:val="both"/>
      </w:pPr>
    </w:p>
    <w:p w14:paraId="099BB4F1" w14:textId="77777777" w:rsidR="007B6B04" w:rsidRPr="001372E4" w:rsidRDefault="006C53A9" w:rsidP="001372E4">
      <w:pPr>
        <w:jc w:val="both"/>
      </w:pPr>
      <w:r w:rsidRPr="001372E4">
        <w:rPr>
          <w:rFonts w:eastAsia="Arial"/>
          <w:sz w:val="24"/>
          <w:szCs w:val="24"/>
        </w:rPr>
        <w:t>The doctoral scientific research project shall be prepared in accordance with the template provided in Annex 1.</w:t>
      </w:r>
    </w:p>
    <w:p w14:paraId="357946B6" w14:textId="77777777" w:rsidR="007B6B04" w:rsidRPr="001372E4" w:rsidRDefault="006C53A9" w:rsidP="001372E4">
      <w:pPr>
        <w:jc w:val="both"/>
      </w:pPr>
      <w:r w:rsidRPr="001372E4">
        <w:rPr>
          <w:rFonts w:eastAsia="Arial"/>
          <w:sz w:val="24"/>
          <w:szCs w:val="24"/>
        </w:rPr>
        <w:t>Weight of criterion C1: 50% of the general admission average (PC1 = 0.5).</w:t>
      </w:r>
    </w:p>
    <w:p w14:paraId="089A80B3" w14:textId="77777777" w:rsidR="007B6B04" w:rsidRPr="001372E4" w:rsidRDefault="007B6B04" w:rsidP="001372E4">
      <w:pPr>
        <w:jc w:val="both"/>
      </w:pPr>
    </w:p>
    <w:p w14:paraId="2A47F891" w14:textId="77777777" w:rsidR="007B6B04" w:rsidRPr="001372E4" w:rsidRDefault="006C53A9" w:rsidP="001372E4">
      <w:pPr>
        <w:jc w:val="both"/>
      </w:pPr>
      <w:r w:rsidRPr="001372E4">
        <w:rPr>
          <w:rFonts w:eastAsia="Arial"/>
          <w:i/>
          <w:iCs/>
          <w:sz w:val="24"/>
          <w:szCs w:val="24"/>
        </w:rPr>
        <w:t>C2. Level of general professional preparation and expertise in the candidate’s research topic area.</w:t>
      </w:r>
    </w:p>
    <w:p w14:paraId="2617AC97" w14:textId="77777777" w:rsidR="007B6B04" w:rsidRPr="001372E4" w:rsidRDefault="006C53A9" w:rsidP="001372E4">
      <w:pPr>
        <w:jc w:val="both"/>
      </w:pPr>
      <w:r w:rsidRPr="001372E4">
        <w:rPr>
          <w:rFonts w:eastAsia="Arial"/>
          <w:sz w:val="24"/>
          <w:szCs w:val="24"/>
        </w:rPr>
        <w:t>In awarding the score for criterion C2, the following prior academic results shall be taken into account, along with their relevance to the doctoral field and research topic:</w:t>
      </w:r>
    </w:p>
    <w:p w14:paraId="7544F57E" w14:textId="77777777" w:rsidR="007B6B04" w:rsidRPr="001372E4" w:rsidRDefault="006C53A9" w:rsidP="001372E4">
      <w:pPr>
        <w:pStyle w:val="ListParagraph"/>
        <w:numPr>
          <w:ilvl w:val="0"/>
          <w:numId w:val="3"/>
        </w:numPr>
        <w:tabs>
          <w:tab w:val="left" w:pos="567"/>
        </w:tabs>
        <w:ind w:left="0" w:firstLine="284"/>
        <w:jc w:val="both"/>
      </w:pPr>
      <w:r w:rsidRPr="001372E4">
        <w:rPr>
          <w:rFonts w:eastAsia="Arial"/>
          <w:sz w:val="24"/>
          <w:szCs w:val="24"/>
        </w:rPr>
        <w:t>Average grade across Bachelor’s study years (MSL);</w:t>
      </w:r>
    </w:p>
    <w:p w14:paraId="718ADE67" w14:textId="77777777" w:rsidR="007B6B04" w:rsidRPr="001372E4" w:rsidRDefault="006C53A9" w:rsidP="001372E4">
      <w:pPr>
        <w:pStyle w:val="ListParagraph"/>
        <w:numPr>
          <w:ilvl w:val="0"/>
          <w:numId w:val="3"/>
        </w:numPr>
        <w:tabs>
          <w:tab w:val="left" w:pos="567"/>
        </w:tabs>
        <w:ind w:left="0" w:firstLine="284"/>
        <w:jc w:val="both"/>
      </w:pPr>
      <w:r w:rsidRPr="001372E4">
        <w:rPr>
          <w:rFonts w:eastAsia="Arial"/>
          <w:sz w:val="24"/>
          <w:szCs w:val="24"/>
        </w:rPr>
        <w:t>Bachelor’s degree examination average (MEL);</w:t>
      </w:r>
    </w:p>
    <w:p w14:paraId="77830A87" w14:textId="77777777" w:rsidR="007B6B04" w:rsidRPr="001372E4" w:rsidRDefault="006C53A9" w:rsidP="001372E4">
      <w:pPr>
        <w:pStyle w:val="ListParagraph"/>
        <w:numPr>
          <w:ilvl w:val="0"/>
          <w:numId w:val="3"/>
        </w:numPr>
        <w:tabs>
          <w:tab w:val="left" w:pos="567"/>
        </w:tabs>
        <w:ind w:left="0" w:firstLine="284"/>
        <w:jc w:val="both"/>
      </w:pPr>
      <w:r w:rsidRPr="001372E4">
        <w:rPr>
          <w:rFonts w:eastAsia="Arial"/>
          <w:sz w:val="24"/>
          <w:szCs w:val="24"/>
        </w:rPr>
        <w:t>Average grade across Master’s / advanced studies years (MSM);</w:t>
      </w:r>
    </w:p>
    <w:p w14:paraId="7937D9A5" w14:textId="77777777" w:rsidR="007B6B04" w:rsidRPr="001372E4" w:rsidRDefault="006C53A9" w:rsidP="001372E4">
      <w:pPr>
        <w:pStyle w:val="ListParagraph"/>
        <w:numPr>
          <w:ilvl w:val="0"/>
          <w:numId w:val="3"/>
        </w:numPr>
        <w:tabs>
          <w:tab w:val="left" w:pos="567"/>
        </w:tabs>
        <w:ind w:left="0" w:firstLine="284"/>
        <w:jc w:val="both"/>
      </w:pPr>
      <w:r w:rsidRPr="001372E4">
        <w:rPr>
          <w:rFonts w:eastAsia="Arial"/>
          <w:sz w:val="24"/>
          <w:szCs w:val="24"/>
        </w:rPr>
        <w:t>Dissertation / advanced studies examination average (MED).</w:t>
      </w:r>
    </w:p>
    <w:p w14:paraId="6EA591D7" w14:textId="77777777" w:rsidR="007B6B04" w:rsidRPr="001372E4" w:rsidRDefault="006C53A9" w:rsidP="001372E4">
      <w:pPr>
        <w:jc w:val="both"/>
      </w:pPr>
      <w:r w:rsidRPr="001372E4">
        <w:rPr>
          <w:rFonts w:eastAsia="Arial"/>
          <w:sz w:val="24"/>
          <w:szCs w:val="24"/>
        </w:rPr>
        <w:t>The score for criterion C2 will be finalized through an average (MC2) calculated as follows:</w:t>
      </w:r>
    </w:p>
    <w:p w14:paraId="60D8CB88" w14:textId="77777777" w:rsidR="007B6B04" w:rsidRPr="001372E4" w:rsidRDefault="006C53A9" w:rsidP="001372E4">
      <w:pPr>
        <w:jc w:val="center"/>
      </w:pPr>
      <w:r w:rsidRPr="001372E4">
        <w:rPr>
          <w:rFonts w:eastAsia="Arial"/>
          <w:bCs/>
          <w:sz w:val="24"/>
          <w:szCs w:val="24"/>
        </w:rPr>
        <w:t>MC2 = [KL* x (MSL + MEL)/2 + KM* x (MSM + MED)/2] / 2</w:t>
      </w:r>
    </w:p>
    <w:p w14:paraId="780505EE" w14:textId="77777777" w:rsidR="007B6B04" w:rsidRPr="001372E4" w:rsidRDefault="007B6B04" w:rsidP="001372E4">
      <w:pPr>
        <w:jc w:val="both"/>
      </w:pPr>
    </w:p>
    <w:p w14:paraId="73C18062" w14:textId="77777777" w:rsidR="007B6B04" w:rsidRPr="001372E4" w:rsidRDefault="006C53A9" w:rsidP="001372E4">
      <w:pPr>
        <w:jc w:val="both"/>
      </w:pPr>
      <w:r w:rsidRPr="001372E4">
        <w:rPr>
          <w:rFonts w:eastAsia="Arial"/>
          <w:sz w:val="24"/>
          <w:szCs w:val="24"/>
        </w:rPr>
        <w:t>Where:</w:t>
      </w:r>
    </w:p>
    <w:p w14:paraId="6167126E" w14:textId="77777777" w:rsidR="007B6B04" w:rsidRPr="001372E4" w:rsidRDefault="006C53A9" w:rsidP="001372E4">
      <w:pPr>
        <w:jc w:val="both"/>
      </w:pPr>
      <w:r w:rsidRPr="001372E4">
        <w:rPr>
          <w:rFonts w:eastAsia="Arial"/>
          <w:sz w:val="24"/>
          <w:szCs w:val="24"/>
        </w:rPr>
        <w:t xml:space="preserve">KL </w:t>
      </w:r>
      <w:r w:rsidR="00F62DA0">
        <w:rPr>
          <w:rFonts w:eastAsia="Arial"/>
          <w:sz w:val="24"/>
          <w:szCs w:val="24"/>
        </w:rPr>
        <w:t>-</w:t>
      </w:r>
      <w:r w:rsidRPr="001372E4">
        <w:rPr>
          <w:rFonts w:eastAsia="Arial"/>
          <w:sz w:val="24"/>
          <w:szCs w:val="24"/>
        </w:rPr>
        <w:t xml:space="preserve"> coefficient assigned to completed Bachelor’s degree studies.</w:t>
      </w:r>
    </w:p>
    <w:p w14:paraId="4A3AF647" w14:textId="77777777" w:rsidR="007B6B04" w:rsidRPr="001372E4" w:rsidRDefault="006C53A9" w:rsidP="001372E4">
      <w:pPr>
        <w:jc w:val="both"/>
      </w:pPr>
      <w:r w:rsidRPr="001372E4">
        <w:rPr>
          <w:rFonts w:eastAsia="Arial"/>
          <w:sz w:val="24"/>
          <w:szCs w:val="24"/>
        </w:rPr>
        <w:t>KL = 1 for Bachelor’s studies in the field of economic sciences, and</w:t>
      </w:r>
    </w:p>
    <w:p w14:paraId="5306E659" w14:textId="77777777" w:rsidR="007B6B04" w:rsidRPr="001372E4" w:rsidRDefault="006C53A9" w:rsidP="001372E4">
      <w:pPr>
        <w:jc w:val="both"/>
      </w:pPr>
      <w:r w:rsidRPr="001372E4">
        <w:rPr>
          <w:rFonts w:eastAsia="Arial"/>
          <w:sz w:val="24"/>
          <w:szCs w:val="24"/>
        </w:rPr>
        <w:t>KL = 0.8 for Bachelor’s studies in other fields of science.</w:t>
      </w:r>
    </w:p>
    <w:p w14:paraId="4ABFB508" w14:textId="77777777" w:rsidR="007B6B04" w:rsidRPr="001372E4" w:rsidRDefault="006C53A9" w:rsidP="001372E4">
      <w:pPr>
        <w:jc w:val="both"/>
      </w:pPr>
      <w:r w:rsidRPr="001372E4">
        <w:rPr>
          <w:rFonts w:eastAsia="Arial"/>
          <w:i/>
          <w:iCs/>
          <w:sz w:val="24"/>
          <w:szCs w:val="24"/>
        </w:rPr>
        <w:t>*For the doctoral fields of Economic Informatics, and Cybernetics and Statistics, KL shall have the following values:</w:t>
      </w:r>
    </w:p>
    <w:p w14:paraId="3790BF6F" w14:textId="77777777" w:rsidR="007B6B04" w:rsidRPr="001372E4" w:rsidRDefault="006C53A9" w:rsidP="001372E4">
      <w:pPr>
        <w:jc w:val="both"/>
      </w:pPr>
      <w:r w:rsidRPr="001372E4">
        <w:rPr>
          <w:rFonts w:eastAsia="Arial"/>
          <w:sz w:val="24"/>
          <w:szCs w:val="24"/>
        </w:rPr>
        <w:lastRenderedPageBreak/>
        <w:t>KL = 1 for Bachelor’s studies in economic sciences or computers and systems engineering or informatics or mathematics-informatics, and</w:t>
      </w:r>
    </w:p>
    <w:p w14:paraId="470CE2C2" w14:textId="77777777" w:rsidR="007B6B04" w:rsidRPr="001372E4" w:rsidRDefault="006C53A9" w:rsidP="001372E4">
      <w:pPr>
        <w:jc w:val="both"/>
      </w:pPr>
      <w:r w:rsidRPr="001372E4">
        <w:rPr>
          <w:rFonts w:eastAsia="Arial"/>
          <w:sz w:val="24"/>
          <w:szCs w:val="24"/>
        </w:rPr>
        <w:t>KL = 0.8 for Bachelor’s studies in other fields of science.</w:t>
      </w:r>
    </w:p>
    <w:p w14:paraId="546419B9" w14:textId="77777777" w:rsidR="007B6B04" w:rsidRPr="001372E4" w:rsidRDefault="007B6B04" w:rsidP="001372E4">
      <w:pPr>
        <w:jc w:val="both"/>
      </w:pPr>
    </w:p>
    <w:p w14:paraId="1F3BA19B" w14:textId="77777777" w:rsidR="007B6B04" w:rsidRPr="001372E4" w:rsidRDefault="006C53A9" w:rsidP="001372E4">
      <w:pPr>
        <w:jc w:val="both"/>
      </w:pPr>
      <w:r w:rsidRPr="001372E4">
        <w:rPr>
          <w:rFonts w:eastAsia="Arial"/>
          <w:sz w:val="24"/>
          <w:szCs w:val="24"/>
        </w:rPr>
        <w:t xml:space="preserve">KM </w:t>
      </w:r>
      <w:r w:rsidR="00F62DA0">
        <w:rPr>
          <w:rFonts w:eastAsia="Arial"/>
          <w:sz w:val="24"/>
          <w:szCs w:val="24"/>
        </w:rPr>
        <w:t>-</w:t>
      </w:r>
      <w:r w:rsidRPr="001372E4">
        <w:rPr>
          <w:rFonts w:eastAsia="Arial"/>
          <w:sz w:val="24"/>
          <w:szCs w:val="24"/>
        </w:rPr>
        <w:t xml:space="preserve"> coefficient assigned to completed Master’s degree studies.</w:t>
      </w:r>
    </w:p>
    <w:p w14:paraId="4DB37127" w14:textId="77777777" w:rsidR="007B6B04" w:rsidRPr="001372E4" w:rsidRDefault="006C53A9" w:rsidP="001372E4">
      <w:pPr>
        <w:jc w:val="both"/>
      </w:pPr>
      <w:r w:rsidRPr="001372E4">
        <w:rPr>
          <w:rFonts w:eastAsia="Arial"/>
          <w:sz w:val="24"/>
          <w:szCs w:val="24"/>
        </w:rPr>
        <w:t>KM = 1 for Master’s studies in economic sciences.</w:t>
      </w:r>
    </w:p>
    <w:p w14:paraId="7808C7B2" w14:textId="77777777" w:rsidR="007B6B04" w:rsidRPr="001372E4" w:rsidRDefault="006C53A9" w:rsidP="001372E4">
      <w:pPr>
        <w:jc w:val="both"/>
      </w:pPr>
      <w:r w:rsidRPr="001372E4">
        <w:rPr>
          <w:rFonts w:eastAsia="Arial"/>
          <w:sz w:val="24"/>
          <w:szCs w:val="24"/>
        </w:rPr>
        <w:t>KM = 0.8 for Master’s studies in other fields of science.</w:t>
      </w:r>
    </w:p>
    <w:p w14:paraId="03E1F267" w14:textId="77777777" w:rsidR="007B6B04" w:rsidRPr="001372E4" w:rsidRDefault="006C53A9" w:rsidP="001372E4">
      <w:pPr>
        <w:jc w:val="both"/>
      </w:pPr>
      <w:r w:rsidRPr="001372E4">
        <w:rPr>
          <w:rFonts w:eastAsia="Arial"/>
          <w:i/>
          <w:iCs/>
          <w:sz w:val="24"/>
          <w:szCs w:val="24"/>
        </w:rPr>
        <w:t>*For the doctoral fields of Economic Informatics, and Cybernetics and Statistics, KM shall have the following values:</w:t>
      </w:r>
    </w:p>
    <w:p w14:paraId="0E1CFAEA" w14:textId="77777777" w:rsidR="007B6B04" w:rsidRPr="001372E4" w:rsidRDefault="006C53A9" w:rsidP="001372E4">
      <w:pPr>
        <w:jc w:val="both"/>
      </w:pPr>
      <w:r w:rsidRPr="001372E4">
        <w:rPr>
          <w:rFonts w:eastAsia="Arial"/>
          <w:sz w:val="24"/>
          <w:szCs w:val="24"/>
        </w:rPr>
        <w:t>KM = 1 for Master’s studies in economic sciences or computers and information technology or systems engineering or informatics or mathematics-informatics, and</w:t>
      </w:r>
    </w:p>
    <w:p w14:paraId="08D29DE8" w14:textId="77777777" w:rsidR="007B6B04" w:rsidRPr="001372E4" w:rsidRDefault="006C53A9" w:rsidP="001372E4">
      <w:pPr>
        <w:jc w:val="both"/>
      </w:pPr>
      <w:r w:rsidRPr="001372E4">
        <w:rPr>
          <w:rFonts w:eastAsia="Arial"/>
          <w:sz w:val="24"/>
          <w:szCs w:val="24"/>
        </w:rPr>
        <w:t>KM = 0.8 for Master’s studies in other fields of science.</w:t>
      </w:r>
    </w:p>
    <w:p w14:paraId="130077EB" w14:textId="77777777" w:rsidR="007B6B04" w:rsidRPr="001372E4" w:rsidRDefault="007B6B04" w:rsidP="001372E4">
      <w:pPr>
        <w:jc w:val="both"/>
      </w:pPr>
    </w:p>
    <w:p w14:paraId="14053369" w14:textId="77777777" w:rsidR="007B6B04" w:rsidRPr="001372E4" w:rsidRDefault="006C53A9" w:rsidP="001372E4">
      <w:pPr>
        <w:jc w:val="both"/>
      </w:pPr>
      <w:r w:rsidRPr="001372E4">
        <w:rPr>
          <w:rFonts w:eastAsia="Arial"/>
          <w:i/>
          <w:iCs/>
          <w:sz w:val="24"/>
          <w:szCs w:val="24"/>
        </w:rPr>
        <w:t>For candidates who hold a diploma of completion / Bachelor’s degree from long-cycle higher education (completed under Law No. 84/1995) prior to the implementation of the Bologna study cycles, and who do not submit a Master’s diploma in their application file, the score P is calculated by omitting the Master’s studies component, with MC2 calculated as follows:</w:t>
      </w:r>
    </w:p>
    <w:p w14:paraId="26921019" w14:textId="77777777" w:rsidR="007B6B04" w:rsidRPr="00F62DA0" w:rsidRDefault="006C53A9" w:rsidP="00F62DA0">
      <w:pPr>
        <w:jc w:val="center"/>
      </w:pPr>
      <w:r w:rsidRPr="00F62DA0">
        <w:rPr>
          <w:rFonts w:eastAsia="Arial"/>
          <w:iCs/>
          <w:sz w:val="24"/>
          <w:szCs w:val="24"/>
        </w:rPr>
        <w:t>MC2 = KL* x (MSL + MEL)/2</w:t>
      </w:r>
    </w:p>
    <w:p w14:paraId="4C805776" w14:textId="77777777" w:rsidR="007B6B04" w:rsidRPr="001372E4" w:rsidRDefault="006C53A9" w:rsidP="001372E4">
      <w:pPr>
        <w:jc w:val="both"/>
      </w:pPr>
      <w:r w:rsidRPr="001372E4">
        <w:rPr>
          <w:rFonts w:eastAsia="Arial"/>
          <w:sz w:val="24"/>
          <w:szCs w:val="24"/>
        </w:rPr>
        <w:t>The average for criterion C2 (MC2) may take values between 1 and 10, to two decimal places, without rounding.</w:t>
      </w:r>
    </w:p>
    <w:p w14:paraId="72A83589" w14:textId="77777777" w:rsidR="007B6B04" w:rsidRPr="001372E4" w:rsidRDefault="006C53A9" w:rsidP="001372E4">
      <w:pPr>
        <w:jc w:val="both"/>
      </w:pPr>
      <w:r w:rsidRPr="001372E4">
        <w:rPr>
          <w:rFonts w:eastAsia="Arial"/>
          <w:sz w:val="24"/>
          <w:szCs w:val="24"/>
        </w:rPr>
        <w:t>Weight of criterion C2: 40% of the general admission average (PC2 = 0.4).</w:t>
      </w:r>
    </w:p>
    <w:p w14:paraId="3A1AC9A6" w14:textId="77777777" w:rsidR="007B6B04" w:rsidRPr="001372E4" w:rsidRDefault="007B6B04" w:rsidP="001372E4">
      <w:pPr>
        <w:jc w:val="both"/>
      </w:pPr>
    </w:p>
    <w:p w14:paraId="30B6A8F7" w14:textId="77777777" w:rsidR="007B6B04" w:rsidRPr="001372E4" w:rsidRDefault="006C53A9" w:rsidP="001372E4">
      <w:pPr>
        <w:jc w:val="both"/>
      </w:pPr>
      <w:r w:rsidRPr="001372E4">
        <w:rPr>
          <w:rFonts w:eastAsia="Arial"/>
          <w:i/>
          <w:iCs/>
          <w:sz w:val="24"/>
          <w:szCs w:val="24"/>
        </w:rPr>
        <w:t>C3. Prior scientific experience.</w:t>
      </w:r>
    </w:p>
    <w:p w14:paraId="6A7CE664" w14:textId="77777777" w:rsidR="007B6B04" w:rsidRPr="001372E4" w:rsidRDefault="006C53A9" w:rsidP="001372E4">
      <w:pPr>
        <w:jc w:val="both"/>
      </w:pPr>
      <w:r w:rsidRPr="001372E4">
        <w:rPr>
          <w:rFonts w:eastAsia="Arial"/>
          <w:sz w:val="24"/>
          <w:szCs w:val="24"/>
        </w:rPr>
        <w:t>In awarding the score for criterion C3 (MC3), the candidate’s prior scientific and research experience and results obtained in the doctoral field and research topic area shall be taken into account, as follows:</w:t>
      </w:r>
    </w:p>
    <w:p w14:paraId="549F824A" w14:textId="77777777" w:rsidR="007B6B04" w:rsidRPr="001372E4" w:rsidRDefault="006C53A9" w:rsidP="00F62DA0">
      <w:pPr>
        <w:pStyle w:val="ListParagraph"/>
        <w:numPr>
          <w:ilvl w:val="0"/>
          <w:numId w:val="3"/>
        </w:numPr>
        <w:tabs>
          <w:tab w:val="left" w:pos="567"/>
        </w:tabs>
        <w:ind w:left="0" w:firstLine="284"/>
        <w:jc w:val="both"/>
      </w:pPr>
      <w:r w:rsidRPr="001372E4">
        <w:rPr>
          <w:rFonts w:eastAsia="Arial"/>
          <w:sz w:val="24"/>
          <w:szCs w:val="24"/>
        </w:rPr>
        <w:t xml:space="preserve">Publication of articles in WoS-indexed journals </w:t>
      </w:r>
      <w:r w:rsidR="00F62DA0">
        <w:rPr>
          <w:rFonts w:eastAsia="Arial"/>
          <w:sz w:val="24"/>
          <w:szCs w:val="24"/>
        </w:rPr>
        <w:t>-</w:t>
      </w:r>
      <w:r w:rsidRPr="001372E4">
        <w:rPr>
          <w:rFonts w:eastAsia="Arial"/>
          <w:sz w:val="24"/>
          <w:szCs w:val="24"/>
        </w:rPr>
        <w:t xml:space="preserve"> 5 points/article;</w:t>
      </w:r>
    </w:p>
    <w:p w14:paraId="0656234F" w14:textId="77777777" w:rsidR="007B6B04" w:rsidRPr="001372E4" w:rsidRDefault="006C53A9" w:rsidP="00F62DA0">
      <w:pPr>
        <w:pStyle w:val="ListParagraph"/>
        <w:numPr>
          <w:ilvl w:val="0"/>
          <w:numId w:val="3"/>
        </w:numPr>
        <w:tabs>
          <w:tab w:val="left" w:pos="567"/>
        </w:tabs>
        <w:ind w:left="0" w:firstLine="284"/>
        <w:jc w:val="both"/>
      </w:pPr>
      <w:r w:rsidRPr="001372E4">
        <w:rPr>
          <w:rFonts w:eastAsia="Arial"/>
          <w:sz w:val="24"/>
          <w:szCs w:val="24"/>
        </w:rPr>
        <w:t xml:space="preserve">Publication of articles in IC2-indexed journals (excluding WoS) </w:t>
      </w:r>
      <w:r w:rsidR="00F62DA0">
        <w:rPr>
          <w:rFonts w:eastAsia="Arial"/>
          <w:sz w:val="24"/>
          <w:szCs w:val="24"/>
        </w:rPr>
        <w:t>-</w:t>
      </w:r>
      <w:r w:rsidRPr="001372E4">
        <w:rPr>
          <w:rFonts w:eastAsia="Arial"/>
          <w:sz w:val="24"/>
          <w:szCs w:val="24"/>
        </w:rPr>
        <w:t xml:space="preserve"> 3 points/article;</w:t>
      </w:r>
    </w:p>
    <w:p w14:paraId="319539AF" w14:textId="77777777" w:rsidR="007B6B04" w:rsidRPr="001372E4" w:rsidRDefault="006C53A9" w:rsidP="00F62DA0">
      <w:pPr>
        <w:pStyle w:val="ListParagraph"/>
        <w:numPr>
          <w:ilvl w:val="0"/>
          <w:numId w:val="3"/>
        </w:numPr>
        <w:tabs>
          <w:tab w:val="left" w:pos="567"/>
        </w:tabs>
        <w:ind w:left="0" w:firstLine="284"/>
        <w:jc w:val="both"/>
      </w:pPr>
      <w:r w:rsidRPr="001372E4">
        <w:rPr>
          <w:rFonts w:eastAsia="Arial"/>
          <w:sz w:val="24"/>
          <w:szCs w:val="24"/>
        </w:rPr>
        <w:t xml:space="preserve">Publication of articles in BDI-indexed journals </w:t>
      </w:r>
      <w:r w:rsidR="00F62DA0">
        <w:rPr>
          <w:rFonts w:eastAsia="Arial"/>
          <w:sz w:val="24"/>
          <w:szCs w:val="24"/>
        </w:rPr>
        <w:t>-</w:t>
      </w:r>
      <w:r w:rsidRPr="001372E4">
        <w:rPr>
          <w:rFonts w:eastAsia="Arial"/>
          <w:sz w:val="24"/>
          <w:szCs w:val="24"/>
        </w:rPr>
        <w:t xml:space="preserve"> 2 points/article;</w:t>
      </w:r>
    </w:p>
    <w:p w14:paraId="44D2B9F4" w14:textId="77777777" w:rsidR="007B6B04" w:rsidRPr="001372E4" w:rsidRDefault="006C53A9" w:rsidP="00F62DA0">
      <w:pPr>
        <w:pStyle w:val="ListParagraph"/>
        <w:numPr>
          <w:ilvl w:val="0"/>
          <w:numId w:val="3"/>
        </w:numPr>
        <w:tabs>
          <w:tab w:val="left" w:pos="567"/>
        </w:tabs>
        <w:ind w:left="0" w:firstLine="284"/>
        <w:jc w:val="both"/>
      </w:pPr>
      <w:r w:rsidRPr="001372E4">
        <w:rPr>
          <w:rFonts w:eastAsia="Arial"/>
          <w:sz w:val="24"/>
          <w:szCs w:val="24"/>
        </w:rPr>
        <w:t xml:space="preserve">Participation in scientific events </w:t>
      </w:r>
      <w:r w:rsidR="00F62DA0">
        <w:rPr>
          <w:rFonts w:eastAsia="Arial"/>
          <w:sz w:val="24"/>
          <w:szCs w:val="24"/>
        </w:rPr>
        <w:t>-</w:t>
      </w:r>
      <w:r w:rsidRPr="001372E4">
        <w:rPr>
          <w:rFonts w:eastAsia="Arial"/>
          <w:sz w:val="24"/>
          <w:szCs w:val="24"/>
        </w:rPr>
        <w:t xml:space="preserve"> 1 point/event;</w:t>
      </w:r>
    </w:p>
    <w:p w14:paraId="63349523" w14:textId="77777777" w:rsidR="007B6B04" w:rsidRPr="001372E4" w:rsidRDefault="006C53A9" w:rsidP="00F62DA0">
      <w:pPr>
        <w:pStyle w:val="ListParagraph"/>
        <w:numPr>
          <w:ilvl w:val="0"/>
          <w:numId w:val="3"/>
        </w:numPr>
        <w:tabs>
          <w:tab w:val="left" w:pos="567"/>
        </w:tabs>
        <w:ind w:left="0" w:firstLine="284"/>
        <w:jc w:val="both"/>
      </w:pPr>
      <w:r w:rsidRPr="001372E4">
        <w:rPr>
          <w:rFonts w:eastAsia="Arial"/>
          <w:sz w:val="24"/>
          <w:szCs w:val="24"/>
        </w:rPr>
        <w:t xml:space="preserve">Awards received at student scientific events </w:t>
      </w:r>
      <w:r w:rsidR="00F62DA0">
        <w:rPr>
          <w:rFonts w:eastAsia="Arial"/>
          <w:sz w:val="24"/>
          <w:szCs w:val="24"/>
        </w:rPr>
        <w:t>-</w:t>
      </w:r>
      <w:r w:rsidRPr="001372E4">
        <w:rPr>
          <w:rFonts w:eastAsia="Arial"/>
          <w:sz w:val="24"/>
          <w:szCs w:val="24"/>
        </w:rPr>
        <w:t xml:space="preserve"> 3 points/award.</w:t>
      </w:r>
    </w:p>
    <w:p w14:paraId="734A5533" w14:textId="77777777" w:rsidR="007B6B04" w:rsidRPr="001372E4" w:rsidRDefault="006C53A9" w:rsidP="001372E4">
      <w:pPr>
        <w:jc w:val="both"/>
      </w:pPr>
      <w:r w:rsidRPr="001372E4">
        <w:rPr>
          <w:rFonts w:eastAsia="Arial"/>
          <w:sz w:val="24"/>
          <w:szCs w:val="24"/>
        </w:rPr>
        <w:t>The score for scientific research activity (MC3) may take values between 1 and 10 and is obtained by summing the scores earned across types of research activities, plus 1 office point. If a candidate reports multiple works, MC3 cannot exceed 10.</w:t>
      </w:r>
    </w:p>
    <w:p w14:paraId="05B37E8A" w14:textId="77777777" w:rsidR="007B6B04" w:rsidRPr="001372E4" w:rsidRDefault="006C53A9" w:rsidP="001372E4">
      <w:pPr>
        <w:jc w:val="both"/>
      </w:pPr>
      <w:r w:rsidRPr="001372E4">
        <w:rPr>
          <w:rFonts w:eastAsia="Arial"/>
          <w:sz w:val="24"/>
          <w:szCs w:val="24"/>
        </w:rPr>
        <w:t>Weight of criterion C3: 10% of the general admission average (PC3 = 0.1).</w:t>
      </w:r>
    </w:p>
    <w:p w14:paraId="520A3518" w14:textId="77777777" w:rsidR="007B6B04" w:rsidRPr="001372E4" w:rsidRDefault="006C53A9" w:rsidP="001372E4">
      <w:pPr>
        <w:jc w:val="both"/>
      </w:pPr>
      <w:r w:rsidRPr="001372E4">
        <w:rPr>
          <w:rFonts w:eastAsia="Arial"/>
          <w:sz w:val="24"/>
          <w:szCs w:val="24"/>
        </w:rPr>
        <w:t>The results obtained from the evaluation of criteria C1, C2, and C3 are recorded in the Evaluation Form (Annex 2), drawn up for each candidate.</w:t>
      </w:r>
    </w:p>
    <w:p w14:paraId="6CA3C610" w14:textId="77777777" w:rsidR="007B6B04" w:rsidRPr="001372E4" w:rsidRDefault="007B6B04" w:rsidP="001372E4">
      <w:pPr>
        <w:jc w:val="both"/>
      </w:pPr>
    </w:p>
    <w:p w14:paraId="61F246AD" w14:textId="77777777" w:rsidR="007B6B04" w:rsidRPr="001372E4" w:rsidRDefault="006C53A9" w:rsidP="001372E4">
      <w:pPr>
        <w:jc w:val="both"/>
      </w:pPr>
      <w:r w:rsidRPr="001372E4">
        <w:rPr>
          <w:rFonts w:eastAsia="Arial"/>
          <w:b/>
          <w:bCs/>
          <w:sz w:val="24"/>
          <w:szCs w:val="24"/>
        </w:rPr>
        <w:t>c) Method of Calculating the General Admission Average:</w:t>
      </w:r>
    </w:p>
    <w:p w14:paraId="268E4639" w14:textId="77777777" w:rsidR="007B6B04" w:rsidRPr="001372E4" w:rsidRDefault="006C53A9" w:rsidP="001372E4">
      <w:pPr>
        <w:jc w:val="both"/>
      </w:pPr>
      <w:r w:rsidRPr="001372E4">
        <w:rPr>
          <w:rFonts w:eastAsia="Arial"/>
          <w:sz w:val="24"/>
          <w:szCs w:val="24"/>
        </w:rPr>
        <w:t>The general admission average is calculated as a weighted arithmetic mean, to two decimal places, without rounding, of the averages obtained from the evaluation of each criterion (C1, C2, and C3).</w:t>
      </w:r>
    </w:p>
    <w:p w14:paraId="3B28B759" w14:textId="77777777" w:rsidR="007B6B04" w:rsidRPr="001372E4" w:rsidRDefault="007B6B04" w:rsidP="001372E4">
      <w:pPr>
        <w:jc w:val="both"/>
      </w:pPr>
    </w:p>
    <w:p w14:paraId="240EA57B" w14:textId="77777777" w:rsidR="007B6B04" w:rsidRPr="006C53A9" w:rsidRDefault="006C53A9" w:rsidP="001372E4">
      <w:pPr>
        <w:jc w:val="both"/>
      </w:pPr>
      <w:r w:rsidRPr="006C53A9">
        <w:rPr>
          <w:rFonts w:eastAsia="Arial"/>
          <w:bCs/>
          <w:sz w:val="24"/>
          <w:szCs w:val="24"/>
        </w:rPr>
        <w:t>MGA = MC1 x PC1 + MC2 x PC2 + MC3 x PC3</w:t>
      </w:r>
    </w:p>
    <w:p w14:paraId="60EF127C" w14:textId="77777777" w:rsidR="007B6B04" w:rsidRPr="001372E4" w:rsidRDefault="007B6B04" w:rsidP="001372E4">
      <w:pPr>
        <w:jc w:val="both"/>
      </w:pPr>
    </w:p>
    <w:p w14:paraId="4EA4FEBB" w14:textId="77777777" w:rsidR="007B6B04" w:rsidRPr="001372E4" w:rsidRDefault="006C53A9" w:rsidP="001372E4">
      <w:pPr>
        <w:jc w:val="both"/>
      </w:pPr>
      <w:r w:rsidRPr="001372E4">
        <w:rPr>
          <w:rFonts w:eastAsia="Arial"/>
          <w:sz w:val="24"/>
          <w:szCs w:val="24"/>
        </w:rPr>
        <w:t>PC1 = 0.5     PC2 = 0.4     PC3 = 0.1</w:t>
      </w:r>
    </w:p>
    <w:p w14:paraId="2ACD240D" w14:textId="77777777" w:rsidR="007B6B04" w:rsidRPr="001372E4" w:rsidRDefault="007B6B04" w:rsidP="001372E4">
      <w:pPr>
        <w:jc w:val="both"/>
      </w:pPr>
    </w:p>
    <w:p w14:paraId="1AECD194" w14:textId="77777777" w:rsidR="007B6B04" w:rsidRPr="001372E4" w:rsidRDefault="006C53A9" w:rsidP="001372E4">
      <w:pPr>
        <w:jc w:val="both"/>
      </w:pPr>
      <w:r w:rsidRPr="001372E4">
        <w:rPr>
          <w:rFonts w:eastAsia="Arial"/>
          <w:b/>
          <w:bCs/>
          <w:sz w:val="24"/>
          <w:szCs w:val="24"/>
        </w:rPr>
        <w:t>d) Tie-Breaking Criteria:</w:t>
      </w:r>
    </w:p>
    <w:p w14:paraId="0A30DFDA" w14:textId="77777777" w:rsidR="007B6B04" w:rsidRPr="001372E4" w:rsidRDefault="006C53A9" w:rsidP="001372E4">
      <w:pPr>
        <w:jc w:val="both"/>
      </w:pPr>
      <w:r w:rsidRPr="001372E4">
        <w:rPr>
          <w:rFonts w:eastAsia="Arial"/>
          <w:sz w:val="24"/>
          <w:szCs w:val="24"/>
        </w:rPr>
        <w:t>Candidates who obtain equal general admission averages are ranked using the following tie-breaking criteria:</w:t>
      </w:r>
    </w:p>
    <w:p w14:paraId="100873CF" w14:textId="77777777" w:rsidR="007B6B04" w:rsidRPr="001372E4" w:rsidRDefault="006C53A9" w:rsidP="006C53A9">
      <w:pPr>
        <w:pStyle w:val="ListParagraph"/>
        <w:numPr>
          <w:ilvl w:val="0"/>
          <w:numId w:val="3"/>
        </w:numPr>
        <w:tabs>
          <w:tab w:val="left" w:pos="567"/>
        </w:tabs>
        <w:ind w:left="0" w:firstLine="284"/>
        <w:jc w:val="both"/>
      </w:pPr>
      <w:r w:rsidRPr="001372E4">
        <w:rPr>
          <w:rFonts w:eastAsia="Arial"/>
          <w:sz w:val="24"/>
          <w:szCs w:val="24"/>
        </w:rPr>
        <w:t>First tie-breaking criterion: MC3</w:t>
      </w:r>
    </w:p>
    <w:p w14:paraId="2F4F75DC" w14:textId="77777777" w:rsidR="007B6B04" w:rsidRPr="001372E4" w:rsidRDefault="006C53A9" w:rsidP="006C53A9">
      <w:pPr>
        <w:pStyle w:val="ListParagraph"/>
        <w:numPr>
          <w:ilvl w:val="0"/>
          <w:numId w:val="3"/>
        </w:numPr>
        <w:tabs>
          <w:tab w:val="left" w:pos="567"/>
        </w:tabs>
        <w:ind w:left="0" w:firstLine="284"/>
        <w:jc w:val="both"/>
      </w:pPr>
      <w:r w:rsidRPr="001372E4">
        <w:rPr>
          <w:rFonts w:eastAsia="Arial"/>
          <w:sz w:val="24"/>
          <w:szCs w:val="24"/>
        </w:rPr>
        <w:t>Second tie-breaking criterion: MC2</w:t>
      </w:r>
    </w:p>
    <w:p w14:paraId="16695277" w14:textId="77777777" w:rsidR="007B6B04" w:rsidRPr="001372E4" w:rsidRDefault="007B6B04" w:rsidP="001372E4">
      <w:pPr>
        <w:jc w:val="both"/>
      </w:pPr>
    </w:p>
    <w:p w14:paraId="618D5507" w14:textId="77777777" w:rsidR="007B6B04" w:rsidRPr="001372E4" w:rsidRDefault="006C53A9" w:rsidP="001372E4">
      <w:pPr>
        <w:jc w:val="both"/>
      </w:pPr>
      <w:r w:rsidRPr="001372E4">
        <w:rPr>
          <w:rFonts w:eastAsia="Arial"/>
          <w:b/>
          <w:bCs/>
          <w:sz w:val="24"/>
          <w:szCs w:val="24"/>
        </w:rPr>
        <w:t>e) Method of Ranking Candidates within a Doctoral Field:</w:t>
      </w:r>
    </w:p>
    <w:p w14:paraId="0603D76C" w14:textId="77777777" w:rsidR="007B6B04" w:rsidRPr="001372E4" w:rsidRDefault="006C53A9" w:rsidP="001372E4">
      <w:pPr>
        <w:jc w:val="both"/>
      </w:pPr>
      <w:r w:rsidRPr="001372E4">
        <w:rPr>
          <w:rFonts w:eastAsia="Arial"/>
          <w:sz w:val="24"/>
          <w:szCs w:val="24"/>
        </w:rPr>
        <w:lastRenderedPageBreak/>
        <w:t>The ranking of candidates and admission to doctoral studies is determined through a single admission list at the level of each doctoral field, in descending order of the general admission averages obtained and the tie-breaking criteria.</w:t>
      </w:r>
    </w:p>
    <w:p w14:paraId="5C6BF099" w14:textId="77777777" w:rsidR="007B6B04" w:rsidRPr="001372E4" w:rsidRDefault="007B6B04" w:rsidP="001372E4">
      <w:pPr>
        <w:jc w:val="both"/>
      </w:pPr>
    </w:p>
    <w:p w14:paraId="33F9F76C" w14:textId="77777777" w:rsidR="007B6B04" w:rsidRPr="001372E4" w:rsidRDefault="006C53A9" w:rsidP="001372E4">
      <w:pPr>
        <w:jc w:val="both"/>
      </w:pPr>
      <w:r w:rsidRPr="001372E4">
        <w:rPr>
          <w:rFonts w:eastAsia="Arial"/>
          <w:b/>
          <w:bCs/>
          <w:sz w:val="24"/>
          <w:szCs w:val="24"/>
        </w:rPr>
        <w:t>f) Procedure for Handling Appeals:</w:t>
      </w:r>
    </w:p>
    <w:p w14:paraId="1795BBE9" w14:textId="77777777" w:rsidR="007B6B04" w:rsidRPr="001372E4" w:rsidRDefault="006C53A9" w:rsidP="001372E4">
      <w:pPr>
        <w:jc w:val="both"/>
      </w:pPr>
      <w:r w:rsidRPr="001372E4">
        <w:rPr>
          <w:rFonts w:eastAsia="Arial"/>
          <w:sz w:val="24"/>
          <w:szCs w:val="24"/>
        </w:rPr>
        <w:t>The resolution of any appeals shall be carried out in accordance with the provisions of Article 73 of the institution's own Regulation on Admission to Bachelor’s, Master’s, and Doctoral Degree Studies.</w:t>
      </w:r>
    </w:p>
    <w:p w14:paraId="66568CAB" w14:textId="77777777" w:rsidR="007B6B04" w:rsidRPr="001372E4" w:rsidRDefault="007B6B04" w:rsidP="001372E4">
      <w:pPr>
        <w:jc w:val="both"/>
      </w:pPr>
    </w:p>
    <w:p w14:paraId="215F70B6" w14:textId="5E10C2AC" w:rsidR="007B6B04" w:rsidRPr="001372E4" w:rsidRDefault="006C53A9" w:rsidP="001372E4">
      <w:pPr>
        <w:jc w:val="both"/>
      </w:pPr>
      <w:r w:rsidRPr="001372E4">
        <w:rPr>
          <w:rFonts w:eastAsia="Arial"/>
          <w:i/>
          <w:iCs/>
          <w:sz w:val="24"/>
          <w:szCs w:val="24"/>
        </w:rPr>
        <w:t xml:space="preserve">Date approved at the Doctoral Studies Committee meeting: </w:t>
      </w:r>
      <w:r w:rsidR="00084F56">
        <w:rPr>
          <w:rFonts w:eastAsia="Arial"/>
          <w:i/>
          <w:iCs/>
          <w:sz w:val="24"/>
          <w:szCs w:val="24"/>
        </w:rPr>
        <w:t>13</w:t>
      </w:r>
      <w:r w:rsidRPr="001372E4">
        <w:rPr>
          <w:rFonts w:eastAsia="Arial"/>
          <w:i/>
          <w:iCs/>
          <w:sz w:val="24"/>
          <w:szCs w:val="24"/>
        </w:rPr>
        <w:t>.0</w:t>
      </w:r>
      <w:r w:rsidR="00084F56">
        <w:rPr>
          <w:rFonts w:eastAsia="Arial"/>
          <w:i/>
          <w:iCs/>
          <w:sz w:val="24"/>
          <w:szCs w:val="24"/>
        </w:rPr>
        <w:t>3</w:t>
      </w:r>
      <w:r w:rsidRPr="001372E4">
        <w:rPr>
          <w:rFonts w:eastAsia="Arial"/>
          <w:i/>
          <w:iCs/>
          <w:sz w:val="24"/>
          <w:szCs w:val="24"/>
        </w:rPr>
        <w:t>.202</w:t>
      </w:r>
      <w:r w:rsidR="00084F56">
        <w:rPr>
          <w:rFonts w:eastAsia="Arial"/>
          <w:i/>
          <w:iCs/>
          <w:sz w:val="24"/>
          <w:szCs w:val="24"/>
        </w:rPr>
        <w:t>6</w:t>
      </w:r>
      <w:bookmarkStart w:id="0" w:name="_GoBack"/>
      <w:bookmarkEnd w:id="0"/>
    </w:p>
    <w:p w14:paraId="6573C1DE" w14:textId="77777777" w:rsidR="007B6B04" w:rsidRPr="001372E4" w:rsidRDefault="007B6B04" w:rsidP="001372E4">
      <w:pPr>
        <w:jc w:val="both"/>
      </w:pPr>
    </w:p>
    <w:p w14:paraId="24E153FE" w14:textId="71FD5290" w:rsidR="007B6B04" w:rsidRPr="001372E4" w:rsidRDefault="006C53A9" w:rsidP="006C53A9">
      <w:pPr>
        <w:jc w:val="center"/>
      </w:pPr>
      <w:r w:rsidRPr="001372E4">
        <w:rPr>
          <w:rFonts w:eastAsia="Arial"/>
          <w:sz w:val="24"/>
          <w:szCs w:val="24"/>
        </w:rPr>
        <w:t>Director of DSE</w:t>
      </w:r>
      <w:r w:rsidR="00FB6219">
        <w:rPr>
          <w:rFonts w:eastAsia="Arial"/>
          <w:sz w:val="24"/>
          <w:szCs w:val="24"/>
        </w:rPr>
        <w:t>S</w:t>
      </w:r>
      <w:r w:rsidRPr="001372E4">
        <w:rPr>
          <w:rFonts w:eastAsia="Arial"/>
          <w:sz w:val="24"/>
          <w:szCs w:val="24"/>
        </w:rPr>
        <w:t xml:space="preserve"> "Eugeniu Carada"</w:t>
      </w:r>
    </w:p>
    <w:p w14:paraId="735FF1CA" w14:textId="77777777" w:rsidR="007B6B04" w:rsidRPr="001372E4" w:rsidRDefault="006C53A9" w:rsidP="006C53A9">
      <w:pPr>
        <w:jc w:val="center"/>
      </w:pPr>
      <w:r>
        <w:rPr>
          <w:rFonts w:eastAsia="Arial"/>
          <w:sz w:val="24"/>
          <w:szCs w:val="24"/>
        </w:rPr>
        <w:t xml:space="preserve">PhD </w:t>
      </w:r>
      <w:r w:rsidRPr="001372E4">
        <w:rPr>
          <w:rFonts w:eastAsia="Arial"/>
          <w:sz w:val="24"/>
          <w:szCs w:val="24"/>
        </w:rPr>
        <w:t>Prof. Marian SIMINI</w:t>
      </w:r>
      <w:r>
        <w:rPr>
          <w:rFonts w:eastAsia="Arial"/>
          <w:sz w:val="24"/>
          <w:szCs w:val="24"/>
        </w:rPr>
        <w:t>CĂ</w:t>
      </w:r>
    </w:p>
    <w:sectPr w:rsidR="007B6B04" w:rsidRPr="001372E4" w:rsidSect="001372E4">
      <w:pgSz w:w="11906" w:h="16838" w:code="9"/>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089"/>
    <w:multiLevelType w:val="hybridMultilevel"/>
    <w:tmpl w:val="8A5A0158"/>
    <w:lvl w:ilvl="0" w:tplc="1026E820">
      <w:start w:val="1"/>
      <w:numFmt w:val="bullet"/>
      <w:lvlText w:val="•"/>
      <w:lvlJc w:val="left"/>
      <w:pPr>
        <w:ind w:left="720" w:hanging="360"/>
      </w:pPr>
      <w:rPr>
        <w:sz w:val="24"/>
        <w:szCs w:val="24"/>
      </w:rPr>
    </w:lvl>
    <w:lvl w:ilvl="1" w:tplc="66AEA372">
      <w:numFmt w:val="decimal"/>
      <w:lvlText w:val=""/>
      <w:lvlJc w:val="left"/>
    </w:lvl>
    <w:lvl w:ilvl="2" w:tplc="F5F0B016">
      <w:numFmt w:val="decimal"/>
      <w:lvlText w:val=""/>
      <w:lvlJc w:val="left"/>
    </w:lvl>
    <w:lvl w:ilvl="3" w:tplc="BBFA1022">
      <w:numFmt w:val="decimal"/>
      <w:lvlText w:val=""/>
      <w:lvlJc w:val="left"/>
    </w:lvl>
    <w:lvl w:ilvl="4" w:tplc="6C00C3A6">
      <w:numFmt w:val="decimal"/>
      <w:lvlText w:val=""/>
      <w:lvlJc w:val="left"/>
    </w:lvl>
    <w:lvl w:ilvl="5" w:tplc="3DDEEF98">
      <w:numFmt w:val="decimal"/>
      <w:lvlText w:val=""/>
      <w:lvlJc w:val="left"/>
    </w:lvl>
    <w:lvl w:ilvl="6" w:tplc="27148C5E">
      <w:numFmt w:val="decimal"/>
      <w:lvlText w:val=""/>
      <w:lvlJc w:val="left"/>
    </w:lvl>
    <w:lvl w:ilvl="7" w:tplc="97201B18">
      <w:numFmt w:val="decimal"/>
      <w:lvlText w:val=""/>
      <w:lvlJc w:val="left"/>
    </w:lvl>
    <w:lvl w:ilvl="8" w:tplc="EB3E52BC">
      <w:numFmt w:val="decimal"/>
      <w:lvlText w:val=""/>
      <w:lvlJc w:val="left"/>
    </w:lvl>
  </w:abstractNum>
  <w:abstractNum w:abstractNumId="1" w15:restartNumberingAfterBreak="0">
    <w:nsid w:val="40EA0E77"/>
    <w:multiLevelType w:val="hybridMultilevel"/>
    <w:tmpl w:val="5B7E717C"/>
    <w:lvl w:ilvl="0" w:tplc="FC1ED48C">
      <w:start w:val="1"/>
      <w:numFmt w:val="decimal"/>
      <w:lvlText w:val="%1."/>
      <w:lvlJc w:val="left"/>
      <w:pPr>
        <w:ind w:left="720" w:hanging="360"/>
      </w:pPr>
      <w:rPr>
        <w:sz w:val="24"/>
        <w:szCs w:val="24"/>
      </w:rPr>
    </w:lvl>
    <w:lvl w:ilvl="1" w:tplc="0748A57C">
      <w:numFmt w:val="decimal"/>
      <w:lvlText w:val=""/>
      <w:lvlJc w:val="left"/>
    </w:lvl>
    <w:lvl w:ilvl="2" w:tplc="158E2CE8">
      <w:numFmt w:val="decimal"/>
      <w:lvlText w:val=""/>
      <w:lvlJc w:val="left"/>
    </w:lvl>
    <w:lvl w:ilvl="3" w:tplc="135AA546">
      <w:numFmt w:val="decimal"/>
      <w:lvlText w:val=""/>
      <w:lvlJc w:val="left"/>
    </w:lvl>
    <w:lvl w:ilvl="4" w:tplc="16C2846A">
      <w:numFmt w:val="decimal"/>
      <w:lvlText w:val=""/>
      <w:lvlJc w:val="left"/>
    </w:lvl>
    <w:lvl w:ilvl="5" w:tplc="71D0C1C4">
      <w:numFmt w:val="decimal"/>
      <w:lvlText w:val=""/>
      <w:lvlJc w:val="left"/>
    </w:lvl>
    <w:lvl w:ilvl="6" w:tplc="F198FF74">
      <w:numFmt w:val="decimal"/>
      <w:lvlText w:val=""/>
      <w:lvlJc w:val="left"/>
    </w:lvl>
    <w:lvl w:ilvl="7" w:tplc="8CECDD60">
      <w:numFmt w:val="decimal"/>
      <w:lvlText w:val=""/>
      <w:lvlJc w:val="left"/>
    </w:lvl>
    <w:lvl w:ilvl="8" w:tplc="2490FFC0">
      <w:numFmt w:val="decimal"/>
      <w:lvlText w:val=""/>
      <w:lvlJc w:val="left"/>
    </w:lvl>
  </w:abstractNum>
  <w:abstractNum w:abstractNumId="2" w15:restartNumberingAfterBreak="0">
    <w:nsid w:val="65067283"/>
    <w:multiLevelType w:val="hybridMultilevel"/>
    <w:tmpl w:val="AB72A540"/>
    <w:lvl w:ilvl="0" w:tplc="F78082E6">
      <w:start w:val="1"/>
      <w:numFmt w:val="bullet"/>
      <w:lvlText w:val="●"/>
      <w:lvlJc w:val="left"/>
      <w:pPr>
        <w:ind w:left="720" w:hanging="360"/>
      </w:pPr>
    </w:lvl>
    <w:lvl w:ilvl="1" w:tplc="4F18B296">
      <w:start w:val="1"/>
      <w:numFmt w:val="bullet"/>
      <w:lvlText w:val="○"/>
      <w:lvlJc w:val="left"/>
      <w:pPr>
        <w:ind w:left="1440" w:hanging="360"/>
      </w:pPr>
    </w:lvl>
    <w:lvl w:ilvl="2" w:tplc="D466D662">
      <w:start w:val="1"/>
      <w:numFmt w:val="bullet"/>
      <w:lvlText w:val="■"/>
      <w:lvlJc w:val="left"/>
      <w:pPr>
        <w:ind w:left="2160" w:hanging="360"/>
      </w:pPr>
    </w:lvl>
    <w:lvl w:ilvl="3" w:tplc="29C6D5E4">
      <w:start w:val="1"/>
      <w:numFmt w:val="bullet"/>
      <w:lvlText w:val="●"/>
      <w:lvlJc w:val="left"/>
      <w:pPr>
        <w:ind w:left="2880" w:hanging="360"/>
      </w:pPr>
    </w:lvl>
    <w:lvl w:ilvl="4" w:tplc="1FC41E06">
      <w:start w:val="1"/>
      <w:numFmt w:val="bullet"/>
      <w:lvlText w:val="○"/>
      <w:lvlJc w:val="left"/>
      <w:pPr>
        <w:ind w:left="3600" w:hanging="360"/>
      </w:pPr>
    </w:lvl>
    <w:lvl w:ilvl="5" w:tplc="4E34AD1E">
      <w:start w:val="1"/>
      <w:numFmt w:val="bullet"/>
      <w:lvlText w:val="■"/>
      <w:lvlJc w:val="left"/>
      <w:pPr>
        <w:ind w:left="4320" w:hanging="360"/>
      </w:pPr>
    </w:lvl>
    <w:lvl w:ilvl="6" w:tplc="E0B04CC0">
      <w:start w:val="1"/>
      <w:numFmt w:val="bullet"/>
      <w:lvlText w:val="●"/>
      <w:lvlJc w:val="left"/>
      <w:pPr>
        <w:ind w:left="5040" w:hanging="360"/>
      </w:pPr>
    </w:lvl>
    <w:lvl w:ilvl="7" w:tplc="EC727200">
      <w:start w:val="1"/>
      <w:numFmt w:val="bullet"/>
      <w:lvlText w:val="●"/>
      <w:lvlJc w:val="left"/>
      <w:pPr>
        <w:ind w:left="5760" w:hanging="360"/>
      </w:pPr>
    </w:lvl>
    <w:lvl w:ilvl="8" w:tplc="F78ECEA8">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04"/>
    <w:rsid w:val="00084F56"/>
    <w:rsid w:val="001372E4"/>
    <w:rsid w:val="006C53A9"/>
    <w:rsid w:val="007B6B04"/>
    <w:rsid w:val="00A271E8"/>
    <w:rsid w:val="00C8535D"/>
    <w:rsid w:val="00F62DA0"/>
    <w:rsid w:val="00FB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4A23"/>
  <w15:docId w15:val="{8B5CA1FA-C9AC-46B9-BAEA-D947FFA1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13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Microsoft account</cp:lastModifiedBy>
  <cp:revision>4</cp:revision>
  <dcterms:created xsi:type="dcterms:W3CDTF">2026-04-01T19:08:00Z</dcterms:created>
  <dcterms:modified xsi:type="dcterms:W3CDTF">2026-04-19T15:38:00Z</dcterms:modified>
</cp:coreProperties>
</file>